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7" w:rsidRPr="008060F7" w:rsidRDefault="008060F7" w:rsidP="008060F7">
      <w:pPr>
        <w:widowControl w:val="0"/>
        <w:tabs>
          <w:tab w:val="left" w:pos="851"/>
        </w:tabs>
        <w:contextualSpacing/>
        <w:rPr>
          <w:rFonts w:ascii="Verdana" w:eastAsia="Verdana" w:hAnsi="Verdana" w:cs="Verdana"/>
          <w:color w:val="000000" w:themeColor="text1"/>
          <w:sz w:val="16"/>
          <w:szCs w:val="16"/>
          <w:lang w:eastAsia="ro-RO" w:bidi="ro-RO"/>
        </w:rPr>
      </w:pPr>
      <w:bookmarkStart w:id="0" w:name="_GoBack"/>
      <w:bookmarkEnd w:id="0"/>
    </w:p>
    <w:p w:rsidR="008060F7" w:rsidRPr="008060F7" w:rsidRDefault="008060F7" w:rsidP="008060F7">
      <w:pPr>
        <w:keepNext/>
        <w:shd w:val="clear" w:color="auto" w:fill="76923C"/>
        <w:ind w:firstLine="709"/>
        <w:rPr>
          <w:rFonts w:ascii="Arial Narrow" w:eastAsia="Calibri" w:hAnsi="Arial Narrow" w:cs="Times New Roman"/>
          <w:b/>
          <w:bCs/>
          <w:color w:val="000000" w:themeColor="text1"/>
          <w:kern w:val="32"/>
          <w:sz w:val="28"/>
          <w:szCs w:val="32"/>
          <w:lang w:val="en-US" w:eastAsia="ar-SA"/>
        </w:rPr>
      </w:pPr>
      <w:bookmarkStart w:id="1" w:name="_Toc410663603"/>
      <w:bookmarkStart w:id="2" w:name="_Toc433704562"/>
      <w:bookmarkStart w:id="3" w:name="_Toc433721837"/>
      <w:r w:rsidRPr="008060F7">
        <w:rPr>
          <w:rFonts w:ascii="Arial Narrow" w:eastAsia="Calibri" w:hAnsi="Arial Narrow" w:cs="Times New Roman"/>
          <w:b/>
          <w:bCs/>
          <w:color w:val="000000" w:themeColor="text1"/>
          <w:kern w:val="32"/>
          <w:sz w:val="28"/>
          <w:szCs w:val="32"/>
          <w:lang w:val="en-US" w:eastAsia="ar-SA"/>
        </w:rPr>
        <w:t>V. BIBLIOGRAFIE</w:t>
      </w:r>
      <w:bookmarkEnd w:id="1"/>
      <w:bookmarkEnd w:id="2"/>
      <w:bookmarkEnd w:id="3"/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*** - Strategia de dezvoltare durabilă a județului Dâmbovița 2012-2020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ediția 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*** - Strategia de dezvoltare durabilă a județului Dâmbovița 2012-2020 – varianta actualizată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*** - Programul operațional regional 2007-2013 – Fișe detaliate pe domenii de intervenție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București, 2006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*** - Orașe competitive – Remodelarea economiei geografice a României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Analiza socio – economică a regiunii 3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draft 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Strategia de dezvoltare a regiunii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2015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*** - Raport privind starea mediului în Județul Dâmbovița în 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Raport stategie națională 2012 – proiect cofinanțat din Fondul European de Dezvoltare Regională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Monografia județului Dâmbovița,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1975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Studiu privind stadiul actual de dezvoltare al infrastructurii în regiunea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Studiu privind stadiul actual de dezvoltare rurală și al agriculturii în regiunea Sud Muntenia și scenarii de dezvoltare în perioada 2014 – 2020,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ediția 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Studiu privind analiza stadiului competitivității și inovării în regiunea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Analiza oportunităților antreprenoriale și a resurselor materiale și umane în regiunea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Analize și studii asupra sectoarelor productive și emergente pentru a depista oportunitățile antreprenoriale în regiunea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*** - Strategia de inovare regională a regiunii Sud Muntenia,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CJD,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 Raportul informării și consultării publicului la prezentarea studiilor preliminare P.A.T.J.,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CJD,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 Răspunsuri U.A.T.-uri privind starea obiectivelor de interes public local,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CJD,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Masterplan județ Dâmbovița,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2007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Institutul Național de Statistică,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Anuarul statistic al Județului Dâmbovița 2014”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Direcția județeană de statistică Dâmbovița, „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Fișele localităților Județului Dâmbovița 2010-2011”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Direcția județeană de statistică Dâmbovița, „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Comerţul internaţional cu bunuri în perioada 1.I. - 31.X.2014”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Guvernul României, </w:t>
      </w:r>
      <w:r w:rsidRPr="008060F7">
        <w:rPr>
          <w:rFonts w:ascii="Arial Narrow" w:eastAsia="Calibri" w:hAnsi="Arial Narrow" w:cs="Times New Roman"/>
          <w:bCs/>
          <w:i/>
          <w:color w:val="000000" w:themeColor="text1"/>
          <w:sz w:val="24"/>
          <w:szCs w:val="24"/>
          <w:lang w:eastAsia="ar-SA"/>
        </w:rPr>
        <w:t>Strategie pentru dezvoltarea IMM-urilor şi îmbunătăţirea mediului de afaceri - Orizont 2020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Guvernul României,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Programul naţional de reformă în concordanţă cu Strategia Europa 2020,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Guvernul României,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Strategia de incluziune a cetățenilor români aparținând minorității romilor 2012-2020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Departamentul pentru afaceri europene,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România si Strategia Europa 2020,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aprile 2011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Prezidenţială pentru Politici Publice de dezvoltare a agriculturii,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Cadrul național strategic rural pentru perioada 2014-2030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Comisia Prezidenţială Pentru Analiza Riscurilor Social şi Demografice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, Raport privind riscuri şi inechităţi sociale în România – Septembrie 2009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Ministerul Economiei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 – Strategia Națională pentru Competitivitate 2014 - 2020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MDRAP,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Metodologia de elaborare și cadrul conținut al documentațiilor de amenajarea teritoriului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2009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MDRAP,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Strategia de dezvoltare teritorială a României „România policentrică 2035”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Justiției - Oficiul Național al Registrului Comerțului,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Sinteza Statistică a datelor din Registrul Național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 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Muncii, Familiei și Protecției Sociale,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Prevenirea și combaterea marginalizării sociale,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raport 2011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Ministerul Muncii, Familiei șiProtecției Sociale,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 Strategia naţională privind incluziunea socială şi reducerea sărăciei (2014-2020)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Muncii, Familiei și Protecției Sociale,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revenirea și combaterea marginalizării sociale,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raport 2011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Ministerul Agriculturii și Dezvoltării Rurale,</w:t>
      </w:r>
      <w:r w:rsidRPr="0080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Programul național de dezvoltare rurală 2014</w:t>
      </w:r>
      <w:r w:rsidRPr="008060F7">
        <w:rPr>
          <w:rFonts w:ascii="Cambria Math" w:eastAsia="Calibri" w:hAnsi="Cambria Math" w:cs="Cambria Math"/>
          <w:i/>
          <w:color w:val="000000" w:themeColor="text1"/>
          <w:sz w:val="24"/>
          <w:szCs w:val="24"/>
          <w:lang w:eastAsia="ar-SA"/>
        </w:rPr>
        <w:t>‐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2020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, iulie 2014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Al şaselea Raport de coeziune economică, socială şi teritorială,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Iulie 2014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Comisia Europeană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, Evaluarea implementării Recomandării privind incluziunea activă în România, 2012-2013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Programul PROGRESS pentru ocuparea forței de muncă și solidaritate socială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2010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Pachet privind dezvoltarea pieței unice a energiei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Strategia de finanțare a infrastructurii bazată pe utilizarea de obligațiuni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Parteneriatul Public-Privat (PPP)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Academia Română - Institutul național de cercetări economice,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Situația sărăciei în context european,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2011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Autoritatea Naţională pentru Persoanele cu Handicap,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Strategia naţională privind protecţia, integrarea şi incluziunea socială a persoanelor cu handicap, 2012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Autoritatea de management pentru PNDR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, Lista comunelor cu grad de sărăcie,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2011 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lastRenderedPageBreak/>
        <w:t xml:space="preserve">Comisia Prezidențială pentru politici publice de dezvoltare a agriculturii,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Cadrul național strategic pentru dezvoltarea durabilă a sectorului agroalimentar și a spațiului rural în perioada 2014-2020-2030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Guvernul României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 xml:space="preserve">, Raportul naţional strategic privind protecţia socială şi incluziunea socială, 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2008-2010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SC „Proiect Habitat” s.r.l. Pucioasa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, Studiu preliminar – Potențialul economic în județul Dâmbovița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2013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FABIAN Niculae,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Modele de regionalizare în contextul integrării europene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>, Teză de doctorat, 2009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SORICI Costin Octavian, </w:t>
      </w:r>
      <w:r w:rsidRPr="008060F7"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  <w:t>Relația globalizare - regionalizare în economia mondială,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 Teză de doctorat, 2005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i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Agriculturii și Dezvoltării Rurale: </w:t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http://www.pndr.ro/</w:t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Dezvoltării Regionale și Administrației Publice: </w:t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"http://www.mdrt.ro/" </w:instrText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http://www.mdrt.ro/</w:t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fldChar w:fldCharType="end"/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Ministerul Muncii, Familiei și Protecției Sociale: </w:t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"http://www.mmuncii.ro/j33/index.php/ro/" </w:instrText>
      </w:r>
      <w:r w:rsidRPr="008060F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http://www.mmuncii.ro/j33/index.php/ro/</w:t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fldChar w:fldCharType="end"/>
      </w:r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Ministerul Afacerilor Europene </w:t>
      </w:r>
      <w:r w:rsidRPr="008060F7">
        <w:rPr>
          <w:rFonts w:ascii="Arial Narrow" w:eastAsia="Calibri" w:hAnsi="Arial Narrow" w:cs="Times New Roman"/>
          <w:i/>
          <w:sz w:val="24"/>
          <w:szCs w:val="24"/>
          <w:lang w:eastAsia="ar-SA"/>
        </w:rPr>
        <w:t>„Strategia Europa 2020 la nivel național”</w:t>
      </w:r>
      <w:r w:rsidRPr="008060F7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:</w:t>
      </w:r>
      <w:r w:rsidRPr="008060F7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</w:p>
    <w:p w:rsidR="008060F7" w:rsidRPr="008060F7" w:rsidRDefault="008060F7" w:rsidP="008060F7">
      <w:pPr>
        <w:tabs>
          <w:tab w:val="left" w:pos="426"/>
        </w:tabs>
        <w:suppressAutoHyphens/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</w:pP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http://www.dae.gov.ro</w:t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/</w:t>
      </w:r>
      <w:proofErr w:type="spellStart"/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articol</w:t>
      </w:r>
      <w:proofErr w:type="spellEnd"/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 xml:space="preserve"> /961/strategia-europa-2020-la-nivel-na-ional</w:t>
      </w:r>
    </w:p>
    <w:p w:rsidR="008060F7" w:rsidRPr="008060F7" w:rsidRDefault="008060F7" w:rsidP="008060F7">
      <w:pPr>
        <w:numPr>
          <w:ilvl w:val="0"/>
          <w:numId w:val="2"/>
        </w:numPr>
        <w:tabs>
          <w:tab w:val="left" w:pos="426"/>
        </w:tabs>
        <w:suppressAutoHyphens/>
        <w:ind w:left="0" w:firstLine="284"/>
        <w:contextualSpacing/>
        <w:jc w:val="left"/>
        <w:rPr>
          <w:rFonts w:ascii="Arial Narrow" w:eastAsia="Calibri" w:hAnsi="Arial Narrow" w:cs="Times New Roman"/>
          <w:sz w:val="24"/>
          <w:szCs w:val="24"/>
          <w:lang w:val="en-US" w:eastAsia="ar-SA"/>
        </w:rPr>
      </w:pPr>
      <w:r w:rsidRPr="008060F7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Ministerul Afacerilor Europene </w:t>
      </w:r>
      <w:r w:rsidRPr="008060F7">
        <w:rPr>
          <w:rFonts w:ascii="Arial Narrow" w:eastAsia="Calibri" w:hAnsi="Arial Narrow" w:cs="Times New Roman"/>
          <w:i/>
          <w:sz w:val="24"/>
          <w:szCs w:val="24"/>
          <w:lang w:eastAsia="ar-SA"/>
        </w:rPr>
        <w:t>„Situația pe regiuni – Contracte de finanțare semnate cu beneficiarii în cadrul programelor operaționale finanțate din instrumentele structurale” :</w:t>
      </w:r>
      <w:r w:rsidRPr="008060F7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</w:p>
    <w:p w:rsidR="008060F7" w:rsidRPr="008060F7" w:rsidRDefault="008060F7" w:rsidP="008060F7">
      <w:pPr>
        <w:tabs>
          <w:tab w:val="left" w:pos="426"/>
        </w:tabs>
        <w:suppressAutoHyphens/>
        <w:contextualSpacing/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</w:pP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http://www.maeur.ro</w:t>
      </w: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/</w:t>
      </w:r>
      <w:proofErr w:type="spellStart"/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articole</w:t>
      </w:r>
      <w:proofErr w:type="spellEnd"/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/</w:t>
      </w:r>
      <w:proofErr w:type="spellStart"/>
      <w:r w:rsidRPr="008060F7">
        <w:rPr>
          <w:rFonts w:ascii="Arial Narrow" w:eastAsia="Calibri" w:hAnsi="Arial Narrow" w:cs="Times New Roman"/>
          <w:color w:val="0000FF"/>
          <w:sz w:val="24"/>
          <w:szCs w:val="24"/>
          <w:lang w:val="en-US" w:eastAsia="ar-SA"/>
        </w:rPr>
        <w:t>situatia-pe-regiuni-contracte-semnate</w:t>
      </w:r>
      <w:proofErr w:type="spellEnd"/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General presentation on proposals for Cohesion Policy 2014-2020, accesibil la : </w:t>
      </w:r>
      <w:hyperlink r:id="rId6" w:history="1"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eastAsia="ar-SA"/>
          </w:rPr>
          <w:t>http://ec.europa.eu</w:t>
        </w:r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val="en-US" w:eastAsia="ar-SA"/>
          </w:rPr>
          <w:t>/</w:t>
        </w:r>
        <w:proofErr w:type="spellStart"/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val="en-US" w:eastAsia="ar-SA"/>
          </w:rPr>
          <w:t>regional_policy</w:t>
        </w:r>
        <w:proofErr w:type="spellEnd"/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val="en-US" w:eastAsia="ar-SA"/>
          </w:rPr>
          <w:t>/what/future/proposals_2014_2020_en.cfm</w:t>
        </w:r>
      </w:hyperlink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Fondul European de Investiții, disponibil </w:t>
      </w:r>
      <w:hyperlink r:id="rId7" w:history="1">
        <w:r w:rsidRPr="008060F7">
          <w:rPr>
            <w:rFonts w:ascii="Arial Narrow" w:eastAsia="Verdana" w:hAnsi="Arial Narrow" w:cs="Verdana"/>
            <w:color w:val="0000FF"/>
            <w:sz w:val="24"/>
            <w:szCs w:val="24"/>
            <w:lang w:eastAsia="ro-RO" w:bidi="ro-RO"/>
          </w:rPr>
          <w:t>http://www.espon.eu/main/Menu_Projects/Menu_ESPON2006Projects</w:t>
        </w:r>
      </w:hyperlink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Verdana" w:hAnsi="Arial Narrow" w:cs="Verdana"/>
          <w:color w:val="000000" w:themeColor="text1"/>
          <w:sz w:val="24"/>
          <w:szCs w:val="24"/>
          <w:lang w:eastAsia="ro-RO" w:bidi="ro-RO"/>
        </w:rPr>
        <w:t>EU finantare info „Fondurile europene 2014-202. Politica de coeziune a UE 2014-2020”, disponibil la :</w:t>
      </w: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 </w:t>
      </w:r>
      <w:hyperlink r:id="rId8" w:history="1"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eastAsia="ar-SA"/>
          </w:rPr>
          <w:t>http://eufinantare.info/politica-coeziune-2020.html</w:t>
        </w:r>
      </w:hyperlink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Comisia Europeană „The Lisbon Strategy in short”, disponibil la : </w:t>
      </w:r>
      <w:hyperlink r:id="rId9" w:history="1">
        <w:r w:rsidRPr="008060F7">
          <w:rPr>
            <w:rFonts w:ascii="Arial Narrow" w:eastAsia="Calibri" w:hAnsi="Arial Narrow" w:cs="Times New Roman"/>
            <w:color w:val="0000FF"/>
            <w:sz w:val="24"/>
            <w:szCs w:val="24"/>
            <w:lang w:eastAsia="ar-SA"/>
          </w:rPr>
          <w:t>http://portal.cor.europa.eu/europe202/Profiles/Pages/TheLisbonStrategyinshort.aspx</w:t>
        </w:r>
      </w:hyperlink>
    </w:p>
    <w:p w:rsidR="008060F7" w:rsidRPr="008060F7" w:rsidRDefault="008060F7" w:rsidP="008060F7">
      <w:pPr>
        <w:numPr>
          <w:ilvl w:val="0"/>
          <w:numId w:val="1"/>
        </w:numPr>
        <w:tabs>
          <w:tab w:val="left" w:pos="426"/>
        </w:tabs>
        <w:suppressAutoHyphens/>
        <w:ind w:left="0" w:firstLine="284"/>
        <w:jc w:val="left"/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00" w:themeColor="text1"/>
          <w:sz w:val="24"/>
          <w:szCs w:val="24"/>
          <w:lang w:eastAsia="ar-SA"/>
        </w:rPr>
        <w:t xml:space="preserve">Comisia Europeană „Europa 2020”, disponibil la : </w:t>
      </w:r>
    </w:p>
    <w:p w:rsidR="008060F7" w:rsidRPr="008060F7" w:rsidRDefault="008060F7" w:rsidP="008060F7">
      <w:pPr>
        <w:tabs>
          <w:tab w:val="left" w:pos="426"/>
        </w:tabs>
        <w:suppressAutoHyphens/>
        <w:jc w:val="left"/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</w:pPr>
      <w:r w:rsidRPr="008060F7">
        <w:rPr>
          <w:rFonts w:ascii="Arial Narrow" w:eastAsia="Calibri" w:hAnsi="Arial Narrow" w:cs="Times New Roman"/>
          <w:color w:val="0000FF"/>
          <w:sz w:val="24"/>
          <w:szCs w:val="24"/>
          <w:lang w:eastAsia="ar-SA"/>
        </w:rPr>
        <w:t>http://ec.europa.eu/europe2020/europe-2020-in-a-nutshell/flagship-initiatives/index_ro.html</w:t>
      </w:r>
    </w:p>
    <w:p w:rsidR="00EA64C6" w:rsidRDefault="00EA64C6"/>
    <w:sectPr w:rsidR="00EA64C6" w:rsidSect="008060F7">
      <w:pgSz w:w="11906" w:h="16838"/>
      <w:pgMar w:top="1077" w:right="340" w:bottom="73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234A"/>
    <w:multiLevelType w:val="hybridMultilevel"/>
    <w:tmpl w:val="23C0FC0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5A39A9"/>
    <w:multiLevelType w:val="hybridMultilevel"/>
    <w:tmpl w:val="00F61D1E"/>
    <w:lvl w:ilvl="0" w:tplc="6A42F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7"/>
    <w:rsid w:val="00320156"/>
    <w:rsid w:val="008060F7"/>
    <w:rsid w:val="00EA64C6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finantare.info/politica-coeziune-20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pon.eu/main/Menu_Projects/Menu_ESPON2006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gional_policy/what/future/proposals_2014_2020_en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cor.europa.eu/europe202/Profiles/Pages/TheLisbonStrategyinsh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Nitescu</dc:creator>
  <cp:lastModifiedBy>Nitescu</cp:lastModifiedBy>
  <cp:revision>1</cp:revision>
  <dcterms:created xsi:type="dcterms:W3CDTF">2015-10-29T08:55:00Z</dcterms:created>
  <dcterms:modified xsi:type="dcterms:W3CDTF">2015-10-29T08:58:00Z</dcterms:modified>
</cp:coreProperties>
</file>